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heme="minorEastAsia" w:hAnsiTheme="minorEastAsia"/>
          <w:sz w:val="32"/>
          <w:szCs w:val="32"/>
        </w:rPr>
      </w:pPr>
      <w:r>
        <w:rPr>
          <w:rFonts w:hint="eastAsia" w:asciiTheme="minorEastAsia" w:hAnsiTheme="minorEastAsia"/>
          <w:sz w:val="32"/>
          <w:szCs w:val="32"/>
        </w:rPr>
        <w:t>附件1：</w:t>
      </w:r>
    </w:p>
    <w:p>
      <w:pPr>
        <w:widowControl/>
        <w:rPr>
          <w:rFonts w:asciiTheme="minorEastAsia" w:hAnsiTheme="minorEastAsia"/>
          <w:sz w:val="32"/>
          <w:szCs w:val="32"/>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2017年度</w:t>
      </w: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泉州市</w:t>
      </w:r>
      <w:r>
        <w:rPr>
          <w:rFonts w:hint="eastAsia" w:ascii="方正小标宋简体" w:eastAsia="方正小标宋简体"/>
          <w:sz w:val="84"/>
          <w:szCs w:val="84"/>
          <w:lang w:eastAsia="zh-CN"/>
        </w:rPr>
        <w:t>鲤城区发改局</w:t>
      </w:r>
      <w:r>
        <w:rPr>
          <w:rFonts w:hint="eastAsia" w:ascii="方正小标宋简体" w:eastAsia="方正小标宋简体"/>
          <w:sz w:val="84"/>
          <w:szCs w:val="84"/>
        </w:rPr>
        <w:t>部门决算</w:t>
      </w:r>
    </w:p>
    <w:p>
      <w:pPr>
        <w:widowControl/>
        <w:rPr>
          <w:sz w:val="84"/>
          <w:szCs w:val="84"/>
        </w:rPr>
      </w:pPr>
      <w:r>
        <w:rPr>
          <w:sz w:val="84"/>
          <w:szCs w:val="84"/>
        </w:rPr>
        <w:br w:type="page"/>
      </w:r>
    </w:p>
    <w:p>
      <w:pPr>
        <w:jc w:val="center"/>
        <w:rPr>
          <w:rFonts w:ascii="仿宋" w:hAnsi="仿宋" w:eastAsia="仿宋"/>
          <w:b/>
          <w:sz w:val="32"/>
          <w:szCs w:val="32"/>
        </w:rPr>
      </w:pPr>
      <w:r>
        <w:rPr>
          <w:rFonts w:hint="eastAsia" w:ascii="仿宋" w:hAnsi="仿宋" w:eastAsia="仿宋"/>
          <w:b/>
          <w:sz w:val="32"/>
          <w:szCs w:val="32"/>
        </w:rPr>
        <w:t>目</w:t>
      </w:r>
      <w:r>
        <w:rPr>
          <w:rFonts w:hint="eastAsia" w:ascii="仿宋" w:hAnsi="仿宋" w:eastAsia="仿宋"/>
          <w:b/>
          <w:sz w:val="32"/>
          <w:szCs w:val="32"/>
          <w:lang w:val="en-US" w:eastAsia="zh-CN"/>
        </w:rPr>
        <w:t xml:space="preserve">    </w:t>
      </w:r>
      <w:r>
        <w:rPr>
          <w:rFonts w:hint="eastAsia" w:ascii="仿宋" w:hAnsi="仿宋" w:eastAsia="仿宋"/>
          <w:b/>
          <w:sz w:val="32"/>
          <w:szCs w:val="32"/>
        </w:rPr>
        <w:t>录</w:t>
      </w:r>
    </w:p>
    <w:p>
      <w:pPr>
        <w:spacing w:line="600" w:lineRule="exact"/>
        <w:rPr>
          <w:rFonts w:ascii="仿宋" w:hAnsi="仿宋" w:eastAsia="仿宋"/>
          <w:spacing w:val="-14"/>
          <w:sz w:val="32"/>
          <w:szCs w:val="32"/>
        </w:rPr>
      </w:pPr>
    </w:p>
    <w:p>
      <w:pPr>
        <w:spacing w:line="600" w:lineRule="exact"/>
        <w:rPr>
          <w:rFonts w:ascii="仿宋" w:hAnsi="仿宋" w:eastAsia="仿宋"/>
          <w:spacing w:val="-14"/>
          <w:sz w:val="32"/>
          <w:szCs w:val="32"/>
        </w:rPr>
      </w:pPr>
      <w:r>
        <w:rPr>
          <w:rFonts w:hint="eastAsia" w:ascii="仿宋" w:hAnsi="仿宋" w:eastAsia="仿宋"/>
          <w:spacing w:val="-14"/>
          <w:sz w:val="32"/>
          <w:szCs w:val="32"/>
        </w:rPr>
        <w:t>一、部门主要职责</w:t>
      </w:r>
    </w:p>
    <w:p>
      <w:pPr>
        <w:spacing w:line="600" w:lineRule="exact"/>
        <w:rPr>
          <w:rFonts w:ascii="仿宋" w:hAnsi="仿宋" w:eastAsia="仿宋"/>
          <w:spacing w:val="-14"/>
          <w:sz w:val="32"/>
          <w:szCs w:val="32"/>
        </w:rPr>
      </w:pPr>
      <w:r>
        <w:rPr>
          <w:rFonts w:hint="eastAsia" w:ascii="仿宋" w:hAnsi="仿宋" w:eastAsia="仿宋"/>
          <w:spacing w:val="-14"/>
          <w:sz w:val="32"/>
          <w:szCs w:val="32"/>
        </w:rPr>
        <w:t>二、部门决算单位基本情况</w:t>
      </w:r>
    </w:p>
    <w:p>
      <w:pPr>
        <w:spacing w:line="600" w:lineRule="exact"/>
        <w:rPr>
          <w:rFonts w:hint="eastAsia" w:ascii="仿宋" w:hAnsi="仿宋" w:eastAsia="仿宋"/>
          <w:spacing w:val="-14"/>
          <w:sz w:val="32"/>
          <w:szCs w:val="32"/>
        </w:rPr>
      </w:pPr>
      <w:r>
        <w:rPr>
          <w:rFonts w:hint="eastAsia" w:ascii="仿宋" w:hAnsi="仿宋" w:eastAsia="仿宋"/>
          <w:spacing w:val="-14"/>
          <w:sz w:val="32"/>
          <w:szCs w:val="32"/>
        </w:rPr>
        <w:t>三、部门主要工作总结</w:t>
      </w:r>
    </w:p>
    <w:p>
      <w:pPr>
        <w:spacing w:line="600" w:lineRule="exact"/>
        <w:rPr>
          <w:rFonts w:hint="eastAsia" w:ascii="仿宋" w:hAnsi="仿宋" w:eastAsia="仿宋"/>
          <w:spacing w:val="-14"/>
          <w:sz w:val="32"/>
          <w:szCs w:val="32"/>
        </w:rPr>
      </w:pPr>
      <w:r>
        <w:rPr>
          <w:rFonts w:hint="eastAsia" w:ascii="仿宋" w:hAnsi="仿宋" w:eastAsia="仿宋"/>
          <w:spacing w:val="-14"/>
          <w:sz w:val="32"/>
          <w:szCs w:val="32"/>
        </w:rPr>
        <w:t>四、</w:t>
      </w:r>
      <w:r>
        <w:rPr>
          <w:rFonts w:hint="eastAsia" w:ascii="仿宋" w:hAnsi="仿宋" w:eastAsia="仿宋"/>
          <w:spacing w:val="-14"/>
          <w:sz w:val="32"/>
          <w:szCs w:val="32"/>
          <w:lang w:val="en-US" w:eastAsia="zh-CN"/>
        </w:rPr>
        <w:t>2017</w:t>
      </w:r>
      <w:r>
        <w:rPr>
          <w:rFonts w:hint="eastAsia" w:ascii="仿宋" w:hAnsi="仿宋" w:eastAsia="仿宋"/>
          <w:spacing w:val="-14"/>
          <w:sz w:val="32"/>
          <w:szCs w:val="32"/>
        </w:rPr>
        <w:t>年决算收支总体情况</w:t>
      </w:r>
    </w:p>
    <w:p>
      <w:pPr>
        <w:spacing w:line="600" w:lineRule="exact"/>
        <w:rPr>
          <w:rFonts w:hint="eastAsia" w:ascii="仿宋" w:hAnsi="仿宋" w:eastAsia="仿宋"/>
          <w:spacing w:val="-14"/>
          <w:sz w:val="32"/>
          <w:szCs w:val="32"/>
        </w:rPr>
      </w:pPr>
      <w:r>
        <w:rPr>
          <w:rFonts w:hint="eastAsia" w:ascii="仿宋" w:hAnsi="仿宋" w:eastAsia="仿宋"/>
          <w:spacing w:val="-14"/>
          <w:sz w:val="32"/>
          <w:szCs w:val="32"/>
        </w:rPr>
        <w:t>五、一般公共预算拨款支出决算情况</w:t>
      </w:r>
    </w:p>
    <w:p>
      <w:pPr>
        <w:spacing w:line="600" w:lineRule="exact"/>
        <w:rPr>
          <w:rFonts w:ascii="仿宋" w:hAnsi="仿宋" w:eastAsia="仿宋"/>
          <w:spacing w:val="-14"/>
          <w:sz w:val="32"/>
          <w:szCs w:val="32"/>
        </w:rPr>
      </w:pPr>
      <w:r>
        <w:rPr>
          <w:rFonts w:hint="eastAsia" w:ascii="仿宋" w:hAnsi="仿宋" w:eastAsia="仿宋"/>
          <w:spacing w:val="-14"/>
          <w:sz w:val="32"/>
          <w:szCs w:val="32"/>
        </w:rPr>
        <w:t>六、政府性基金支出决算情况</w:t>
      </w:r>
      <w:bookmarkStart w:id="0" w:name="_GoBack"/>
      <w:bookmarkEnd w:id="0"/>
    </w:p>
    <w:p>
      <w:pPr>
        <w:spacing w:line="600" w:lineRule="exact"/>
        <w:rPr>
          <w:rFonts w:ascii="仿宋" w:hAnsi="仿宋" w:eastAsia="仿宋"/>
          <w:spacing w:val="-14"/>
          <w:sz w:val="32"/>
          <w:szCs w:val="32"/>
        </w:rPr>
      </w:pPr>
      <w:r>
        <w:rPr>
          <w:rFonts w:hint="eastAsia" w:ascii="仿宋" w:hAnsi="仿宋" w:eastAsia="仿宋"/>
          <w:spacing w:val="-14"/>
          <w:sz w:val="32"/>
          <w:szCs w:val="32"/>
        </w:rPr>
        <w:t>七、财政拨款基本支出决算情况</w:t>
      </w:r>
    </w:p>
    <w:p>
      <w:pPr>
        <w:tabs>
          <w:tab w:val="left" w:pos="7513"/>
        </w:tabs>
        <w:adjustRightInd w:val="0"/>
        <w:snapToGrid w:val="0"/>
        <w:spacing w:line="600" w:lineRule="exact"/>
        <w:rPr>
          <w:rFonts w:ascii="仿宋" w:hAnsi="仿宋" w:eastAsia="仿宋"/>
          <w:spacing w:val="-14"/>
          <w:sz w:val="32"/>
          <w:szCs w:val="32"/>
        </w:rPr>
      </w:pPr>
      <w:r>
        <w:rPr>
          <w:rFonts w:hint="eastAsia" w:ascii="仿宋" w:hAnsi="仿宋" w:eastAsia="仿宋"/>
          <w:spacing w:val="-14"/>
          <w:sz w:val="32"/>
          <w:szCs w:val="32"/>
        </w:rPr>
        <w:t>八、一般公共预算拨款“三公”经费支出决算情况</w:t>
      </w:r>
    </w:p>
    <w:p>
      <w:pPr>
        <w:tabs>
          <w:tab w:val="left" w:pos="7513"/>
        </w:tabs>
        <w:adjustRightInd w:val="0"/>
        <w:snapToGrid w:val="0"/>
        <w:spacing w:line="600" w:lineRule="exact"/>
        <w:rPr>
          <w:rFonts w:ascii="仿宋" w:hAnsi="仿宋" w:eastAsia="仿宋"/>
          <w:spacing w:val="-14"/>
          <w:sz w:val="32"/>
          <w:szCs w:val="32"/>
        </w:rPr>
      </w:pPr>
      <w:r>
        <w:rPr>
          <w:rFonts w:hint="eastAsia" w:ascii="仿宋" w:hAnsi="仿宋" w:eastAsia="仿宋"/>
          <w:spacing w:val="-14"/>
          <w:sz w:val="32"/>
          <w:szCs w:val="32"/>
        </w:rPr>
        <w:t>九、其他重要事项说明</w:t>
      </w:r>
    </w:p>
    <w:p>
      <w:pPr>
        <w:spacing w:line="600" w:lineRule="exact"/>
        <w:rPr>
          <w:rFonts w:ascii="仿宋" w:hAnsi="仿宋" w:eastAsia="仿宋"/>
          <w:spacing w:val="-14"/>
          <w:sz w:val="32"/>
          <w:szCs w:val="32"/>
        </w:rPr>
      </w:pPr>
      <w:r>
        <w:rPr>
          <w:rFonts w:hint="eastAsia" w:ascii="仿宋" w:hAnsi="仿宋" w:eastAsia="仿宋"/>
          <w:spacing w:val="-14"/>
          <w:sz w:val="32"/>
          <w:szCs w:val="32"/>
        </w:rPr>
        <w:t>十、名词解释</w:t>
      </w:r>
    </w:p>
    <w:p>
      <w:pPr>
        <w:spacing w:line="600" w:lineRule="exact"/>
        <w:rPr>
          <w:rFonts w:ascii="仿宋" w:hAnsi="仿宋" w:eastAsia="仿宋"/>
          <w:spacing w:val="-14"/>
          <w:sz w:val="32"/>
          <w:szCs w:val="32"/>
        </w:rPr>
      </w:pPr>
      <w:r>
        <w:rPr>
          <w:rFonts w:hint="eastAsia" w:ascii="仿宋" w:hAnsi="仿宋" w:eastAsia="仿宋"/>
          <w:spacing w:val="-14"/>
          <w:sz w:val="32"/>
          <w:szCs w:val="32"/>
        </w:rPr>
        <w:t>附表：</w:t>
      </w:r>
      <w:r>
        <w:rPr>
          <w:rFonts w:ascii="仿宋" w:hAnsi="仿宋" w:eastAsia="仿宋"/>
          <w:spacing w:val="-14"/>
          <w:sz w:val="32"/>
          <w:szCs w:val="32"/>
        </w:rPr>
        <w:t>4-1</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年度收支决算总表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4-2</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年度收入决算表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4-3</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年度支出决算表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4-4</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年度财政拨款收支决算总表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4-5</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年度一般公共预算支出决算表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4-6</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年度一般公共预算支出经济分类决算情况表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4-7</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年度一般公共预算基本支出经济分类决算情况表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4-8</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年度政府性基金支出决算表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4-9</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年度部门决算相关信息统计表</w:t>
      </w:r>
    </w:p>
    <w:p>
      <w:pPr>
        <w:spacing w:line="600" w:lineRule="exact"/>
        <w:ind w:firstLine="876" w:firstLineChars="300"/>
        <w:rPr>
          <w:rFonts w:ascii="仿宋" w:hAnsi="仿宋" w:eastAsia="仿宋"/>
          <w:spacing w:val="-14"/>
          <w:sz w:val="32"/>
          <w:szCs w:val="32"/>
        </w:rPr>
      </w:pPr>
      <w:r>
        <w:rPr>
          <w:rFonts w:ascii="仿宋" w:hAnsi="仿宋" w:eastAsia="仿宋"/>
          <w:spacing w:val="-14"/>
          <w:sz w:val="32"/>
          <w:szCs w:val="32"/>
        </w:rPr>
        <w:t>4-10</w:t>
      </w:r>
      <w:r>
        <w:rPr>
          <w:rFonts w:hint="eastAsia" w:ascii="仿宋" w:hAnsi="仿宋" w:eastAsia="仿宋"/>
          <w:spacing w:val="-14"/>
          <w:sz w:val="32"/>
          <w:szCs w:val="32"/>
          <w:lang w:val="en-US" w:eastAsia="zh-CN"/>
        </w:rPr>
        <w:t xml:space="preserve"> 2017</w:t>
      </w:r>
      <w:r>
        <w:rPr>
          <w:rFonts w:ascii="仿宋" w:hAnsi="仿宋" w:eastAsia="仿宋"/>
          <w:spacing w:val="-14"/>
          <w:sz w:val="32"/>
          <w:szCs w:val="32"/>
        </w:rPr>
        <w:t>年度政府采购情况表</w:t>
      </w:r>
    </w:p>
    <w:p>
      <w:pPr>
        <w:jc w:val="left"/>
        <w:rPr>
          <w:rFonts w:ascii="仿宋" w:hAnsi="仿宋" w:eastAsia="仿宋"/>
          <w:sz w:val="32"/>
          <w:szCs w:val="32"/>
        </w:rPr>
      </w:pPr>
    </w:p>
    <w:p/>
    <w:p>
      <w:pPr>
        <w:jc w:val="center"/>
        <w:rPr>
          <w:rFonts w:ascii="黑体" w:hAnsi="黑体" w:eastAsia="黑体"/>
          <w:sz w:val="32"/>
          <w:szCs w:val="32"/>
        </w:rPr>
      </w:pPr>
      <w:r>
        <w:rPr>
          <w:rFonts w:hint="eastAsia" w:ascii="黑体" w:hAnsi="黑体" w:eastAsia="黑体"/>
          <w:sz w:val="32"/>
          <w:szCs w:val="32"/>
          <w:lang w:val="en-US" w:eastAsia="zh-CN"/>
        </w:rPr>
        <w:t>2017</w:t>
      </w:r>
      <w:r>
        <w:rPr>
          <w:rFonts w:hint="eastAsia" w:ascii="黑体" w:hAnsi="黑体" w:eastAsia="黑体"/>
          <w:sz w:val="32"/>
          <w:szCs w:val="32"/>
        </w:rPr>
        <w:t>年度</w:t>
      </w:r>
      <w:r>
        <w:rPr>
          <w:rFonts w:hint="eastAsia" w:ascii="黑体" w:hAnsi="黑体" w:eastAsia="黑体"/>
          <w:sz w:val="32"/>
          <w:szCs w:val="32"/>
          <w:lang w:eastAsia="zh-CN"/>
        </w:rPr>
        <w:t>发改局</w:t>
      </w:r>
      <w:r>
        <w:rPr>
          <w:rFonts w:hint="eastAsia" w:ascii="黑体" w:hAnsi="黑体" w:eastAsia="黑体"/>
          <w:sz w:val="32"/>
          <w:szCs w:val="32"/>
        </w:rPr>
        <w:t>部门决算说明</w:t>
      </w:r>
    </w:p>
    <w:p>
      <w:pPr>
        <w:spacing w:line="24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cs="仿宋"/>
          <w:b w:val="0"/>
          <w:i w:val="0"/>
          <w:caps w:val="0"/>
          <w:color w:val="555555"/>
          <w:spacing w:val="0"/>
          <w:sz w:val="32"/>
          <w:szCs w:val="32"/>
          <w:bdr w:val="none" w:color="auto" w:sz="0" w:space="0"/>
          <w:shd w:val="clear" w:fill="FFFFFF"/>
        </w:rPr>
      </w:pPr>
      <w:r>
        <w:rPr>
          <w:rFonts w:ascii="仿宋" w:hAnsi="仿宋" w:eastAsia="仿宋" w:cs="仿宋"/>
          <w:b w:val="0"/>
          <w:i w:val="0"/>
          <w:caps w:val="0"/>
          <w:color w:val="555555"/>
          <w:spacing w:val="0"/>
          <w:sz w:val="32"/>
          <w:szCs w:val="32"/>
          <w:bdr w:val="none" w:color="auto" w:sz="0" w:space="0"/>
          <w:shd w:val="clear" w:fill="FFFFFF"/>
        </w:rPr>
        <w:t>按照《鲤城区财政局关于批复</w:t>
      </w:r>
      <w:r>
        <w:rPr>
          <w:rFonts w:hint="eastAsia" w:ascii="仿宋" w:hAnsi="仿宋" w:eastAsia="仿宋" w:cs="仿宋"/>
          <w:b w:val="0"/>
          <w:i w:val="0"/>
          <w:caps w:val="0"/>
          <w:color w:val="555555"/>
          <w:spacing w:val="0"/>
          <w:sz w:val="32"/>
          <w:szCs w:val="32"/>
          <w:bdr w:val="none" w:color="auto" w:sz="0" w:space="0"/>
          <w:shd w:val="clear" w:fill="FFFFFF"/>
        </w:rPr>
        <w:t>2017年度部门决算的通知》（鲤财决[2018]1号）及《关于开展区级部门预决算和“三公”经费预决算信息公开工作的通知》（泉鲤政财[2014]132号）的要求，现将我单位2017年度部门决算说明如下: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3"/>
        <w:jc w:val="left"/>
        <w:rPr>
          <w:rFonts w:hint="eastAsia" w:ascii="宋体" w:hAnsi="宋体" w:eastAsia="宋体" w:cs="宋体"/>
          <w:b w:val="0"/>
          <w:i w:val="0"/>
          <w:caps w:val="0"/>
          <w:color w:val="000000"/>
          <w:spacing w:val="0"/>
          <w:sz w:val="19"/>
          <w:szCs w:val="19"/>
        </w:rPr>
      </w:pPr>
      <w:r>
        <w:rPr>
          <w:rFonts w:hint="eastAsia" w:ascii="宋体" w:hAnsi="宋体" w:eastAsia="宋体" w:cs="宋体"/>
          <w:b/>
          <w:i w:val="0"/>
          <w:caps w:val="0"/>
          <w:color w:val="555555"/>
          <w:spacing w:val="0"/>
          <w:kern w:val="0"/>
          <w:sz w:val="32"/>
          <w:szCs w:val="32"/>
          <w:bdr w:val="none" w:color="auto" w:sz="0" w:space="0"/>
          <w:shd w:val="clear" w:fill="FFFFFF"/>
          <w:lang w:val="en-US" w:eastAsia="zh-CN" w:bidi="ar"/>
        </w:rPr>
        <w:t>一、部门主要职责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鲤城区发展和改革局主要职责是：区政府的综合经济管理部门，研究提出全区国民经济和社会发展战略、发展规划、年度计划，负责区域经济运行监测调度、固定资产投资管理、结构调整、经济体制改革、物价调控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ascii="黑体" w:hAnsi="宋体" w:eastAsia="黑体" w:cs="黑体"/>
          <w:b w:val="0"/>
          <w:i w:val="0"/>
          <w:caps w:val="0"/>
          <w:color w:val="555555"/>
          <w:spacing w:val="0"/>
          <w:kern w:val="0"/>
          <w:sz w:val="32"/>
          <w:szCs w:val="32"/>
          <w:bdr w:val="none" w:color="auto" w:sz="0" w:space="0"/>
          <w:shd w:val="clear" w:fill="FFFFFF"/>
          <w:lang w:val="en-US" w:eastAsia="zh-CN" w:bidi="ar"/>
        </w:rPr>
        <w:t>二、</w:t>
      </w: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部门决算单位基本情况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鲤城区发展和改革局包括1个机关行政科室及4个下属单位，其中：列入2016年部门决算编制范围的单位详细情况见下表:</w:t>
      </w:r>
    </w:p>
    <w:tbl>
      <w:tblPr>
        <w:tblW w:w="8522" w:type="dxa"/>
        <w:tblInd w:w="0" w:type="dxa"/>
        <w:shd w:val="clear"/>
        <w:tblLayout w:type="fixed"/>
        <w:tblCellMar>
          <w:top w:w="15" w:type="dxa"/>
          <w:left w:w="15" w:type="dxa"/>
          <w:bottom w:w="15" w:type="dxa"/>
          <w:right w:w="15" w:type="dxa"/>
        </w:tblCellMar>
      </w:tblPr>
      <w:tblGrid>
        <w:gridCol w:w="2130"/>
        <w:gridCol w:w="2130"/>
        <w:gridCol w:w="2131"/>
        <w:gridCol w:w="2131"/>
      </w:tblGrid>
      <w:tr>
        <w:tblPrEx>
          <w:shd w:val="clear"/>
          <w:tblLayout w:type="fixed"/>
          <w:tblCellMar>
            <w:top w:w="15" w:type="dxa"/>
            <w:left w:w="15" w:type="dxa"/>
            <w:bottom w:w="15" w:type="dxa"/>
            <w:right w:w="15" w:type="dxa"/>
          </w:tblCellMar>
        </w:tblPrEx>
        <w:tc>
          <w:tcPr>
            <w:tcW w:w="2130" w:type="dxa"/>
            <w:tcBorders>
              <w:top w:val="single" w:color="auto" w:sz="8" w:space="0"/>
              <w:left w:val="single" w:color="auto" w:sz="8" w:space="0"/>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ascii="仿宋_GB2312" w:hAnsi="宋体" w:eastAsia="仿宋_GB2312" w:cs="仿宋_GB2312"/>
                <w:caps w:val="0"/>
                <w:spacing w:val="0"/>
                <w:kern w:val="0"/>
                <w:sz w:val="32"/>
                <w:szCs w:val="32"/>
                <w:lang w:val="en-US" w:eastAsia="zh-CN" w:bidi="ar"/>
              </w:rPr>
              <w:t>单位名称</w:t>
            </w:r>
          </w:p>
        </w:tc>
        <w:tc>
          <w:tcPr>
            <w:tcW w:w="2130" w:type="dxa"/>
            <w:tcBorders>
              <w:top w:val="single" w:color="auto" w:sz="8" w:space="0"/>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经费性质</w:t>
            </w:r>
          </w:p>
        </w:tc>
        <w:tc>
          <w:tcPr>
            <w:tcW w:w="2131" w:type="dxa"/>
            <w:tcBorders>
              <w:top w:val="single" w:color="auto" w:sz="8" w:space="0"/>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人员编制数</w:t>
            </w:r>
          </w:p>
        </w:tc>
        <w:tc>
          <w:tcPr>
            <w:tcW w:w="2131" w:type="dxa"/>
            <w:tcBorders>
              <w:top w:val="single" w:color="auto" w:sz="8" w:space="0"/>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在职人数</w:t>
            </w:r>
          </w:p>
        </w:tc>
      </w:tr>
      <w:tr>
        <w:tblPrEx>
          <w:shd w:val="clear"/>
          <w:tblLayout w:type="fixed"/>
          <w:tblCellMar>
            <w:top w:w="15" w:type="dxa"/>
            <w:left w:w="15" w:type="dxa"/>
            <w:bottom w:w="15" w:type="dxa"/>
            <w:right w:w="15" w:type="dxa"/>
          </w:tblCellMar>
        </w:tblPrEx>
        <w:tc>
          <w:tcPr>
            <w:tcW w:w="2130" w:type="dxa"/>
            <w:tcBorders>
              <w:top w:val="nil"/>
              <w:left w:val="single" w:color="auto" w:sz="8" w:space="0"/>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宋体" w:hAnsi="宋体" w:eastAsia="宋体" w:cs="宋体"/>
                <w:caps w:val="0"/>
                <w:spacing w:val="0"/>
                <w:kern w:val="0"/>
                <w:sz w:val="19"/>
                <w:szCs w:val="19"/>
                <w:shd w:val="clear" w:fill="FFFFFF"/>
                <w:lang w:val="en-US" w:eastAsia="zh-CN" w:bidi="ar"/>
              </w:rPr>
              <w:t> 鲤城区发展改革局</w:t>
            </w:r>
          </w:p>
        </w:tc>
        <w:tc>
          <w:tcPr>
            <w:tcW w:w="2130" w:type="dxa"/>
            <w:tcBorders>
              <w:top w:val="nil"/>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财政核拨</w:t>
            </w:r>
          </w:p>
        </w:tc>
        <w:tc>
          <w:tcPr>
            <w:tcW w:w="2131" w:type="dxa"/>
            <w:tcBorders>
              <w:top w:val="nil"/>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宋体" w:hAnsi="宋体" w:eastAsia="宋体" w:cs="宋体"/>
                <w:caps w:val="0"/>
                <w:spacing w:val="0"/>
                <w:kern w:val="0"/>
                <w:sz w:val="21"/>
                <w:szCs w:val="21"/>
                <w:lang w:val="en-US" w:eastAsia="zh-CN" w:bidi="ar"/>
              </w:rPr>
              <w:t>25</w:t>
            </w:r>
          </w:p>
        </w:tc>
        <w:tc>
          <w:tcPr>
            <w:tcW w:w="2131" w:type="dxa"/>
            <w:tcBorders>
              <w:top w:val="nil"/>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25</w:t>
            </w:r>
          </w:p>
        </w:tc>
      </w:tr>
      <w:tr>
        <w:tblPrEx>
          <w:shd w:val="clear"/>
          <w:tblLayout w:type="fixed"/>
          <w:tblCellMar>
            <w:top w:w="15" w:type="dxa"/>
            <w:left w:w="15" w:type="dxa"/>
            <w:bottom w:w="15" w:type="dxa"/>
            <w:right w:w="15" w:type="dxa"/>
          </w:tblCellMar>
        </w:tblPrEx>
        <w:tc>
          <w:tcPr>
            <w:tcW w:w="2130" w:type="dxa"/>
            <w:tcBorders>
              <w:top w:val="nil"/>
              <w:left w:val="single" w:color="auto" w:sz="8" w:space="0"/>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ascii="Calibri" w:hAnsi="Calibri" w:eastAsia="宋体" w:cs="Calibri"/>
                <w:caps w:val="0"/>
                <w:spacing w:val="0"/>
                <w:kern w:val="0"/>
                <w:sz w:val="21"/>
                <w:szCs w:val="21"/>
                <w:lang w:val="en-US" w:eastAsia="zh-CN" w:bidi="ar"/>
              </w:rPr>
              <w:t> </w:t>
            </w:r>
          </w:p>
        </w:tc>
        <w:tc>
          <w:tcPr>
            <w:tcW w:w="2130" w:type="dxa"/>
            <w:tcBorders>
              <w:top w:val="nil"/>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caps w:val="0"/>
                <w:spacing w:val="0"/>
                <w:kern w:val="0"/>
                <w:sz w:val="21"/>
                <w:szCs w:val="21"/>
                <w:lang w:val="en-US" w:eastAsia="zh-CN" w:bidi="ar"/>
              </w:rPr>
              <w:t> </w:t>
            </w:r>
          </w:p>
        </w:tc>
        <w:tc>
          <w:tcPr>
            <w:tcW w:w="2131" w:type="dxa"/>
            <w:tcBorders>
              <w:top w:val="nil"/>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caps w:val="0"/>
                <w:spacing w:val="0"/>
                <w:kern w:val="0"/>
                <w:sz w:val="21"/>
                <w:szCs w:val="21"/>
                <w:lang w:val="en-US" w:eastAsia="zh-CN" w:bidi="ar"/>
              </w:rPr>
              <w:t> </w:t>
            </w:r>
          </w:p>
        </w:tc>
        <w:tc>
          <w:tcPr>
            <w:tcW w:w="2131" w:type="dxa"/>
            <w:tcBorders>
              <w:top w:val="nil"/>
              <w:left w:val="nil"/>
              <w:bottom w:val="single" w:color="auto" w:sz="8" w:space="0"/>
              <w:right w:val="single" w:color="auto" w:sz="8" w:space="0"/>
            </w:tcBorders>
            <w:shd w:val="clear" w:color="auto" w:fill="F9F7F5"/>
            <w:tcMar>
              <w:top w:w="0" w:type="dxa"/>
              <w:left w:w="108" w:type="dxa"/>
              <w:bottom w:w="0" w:type="dxa"/>
              <w:right w:w="108" w:type="dxa"/>
            </w:tcMar>
            <w:vAlign w:val="top"/>
          </w:tcPr>
          <w:p>
            <w:pPr>
              <w:keepNext w:val="0"/>
              <w:keepLines w:val="0"/>
              <w:widowControl/>
              <w:suppressLineNumbers w:val="0"/>
              <w:spacing w:before="240" w:beforeAutospacing="0" w:after="24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caps w:val="0"/>
                <w:spacing w:val="0"/>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48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720" w:right="0" w:hanging="72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三、</w:t>
      </w:r>
      <w:r>
        <w:rPr>
          <w:rFonts w:hint="default" w:ascii="Times New Roman" w:hAnsi="Times New Roman" w:eastAsia="宋体" w:cs="Times New Roman"/>
          <w:b w:val="0"/>
          <w:i w:val="0"/>
          <w:caps w:val="0"/>
          <w:color w:val="555555"/>
          <w:spacing w:val="0"/>
          <w:kern w:val="0"/>
          <w:sz w:val="32"/>
          <w:szCs w:val="32"/>
          <w:bdr w:val="none" w:color="auto" w:sz="0" w:space="0"/>
          <w:shd w:val="clear" w:fill="FFFFFF"/>
          <w:lang w:val="en-US" w:eastAsia="zh-CN" w:bidi="ar"/>
        </w:rPr>
        <w:t> </w:t>
      </w: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部门主要工作总结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ascii="仿宋" w:hAnsi="仿宋" w:eastAsia="仿宋" w:cs="仿宋"/>
          <w:b w:val="0"/>
          <w:i w:val="0"/>
          <w:caps w:val="0"/>
          <w:color w:val="555555"/>
          <w:spacing w:val="0"/>
          <w:kern w:val="0"/>
          <w:sz w:val="32"/>
          <w:szCs w:val="32"/>
          <w:bdr w:val="none" w:color="auto" w:sz="0" w:space="0"/>
          <w:shd w:val="clear" w:fill="FFFFFF"/>
          <w:lang w:val="en-US" w:eastAsia="zh-CN" w:bidi="ar"/>
        </w:rPr>
        <w:t>2</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017年，鲤城区发展和改革局主要任务是：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围绕上述任务，重点完成了以下工作：</w:t>
      </w:r>
    </w:p>
    <w:p>
      <w:pPr>
        <w:pStyle w:val="4"/>
        <w:keepNext w:val="0"/>
        <w:keepLines w:val="0"/>
        <w:widowControl/>
        <w:suppressLineNumbers w:val="0"/>
        <w:spacing w:before="0" w:beforeAutospacing="0" w:after="0" w:afterAutospacing="0" w:line="12" w:lineRule="atLeast"/>
        <w:ind w:left="0" w:right="0" w:firstLine="0"/>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sz w:val="32"/>
          <w:szCs w:val="32"/>
        </w:rPr>
        <w:t>（一）加强经济运行调度，努力稳定经济增长</w:t>
      </w:r>
    </w:p>
    <w:p>
      <w:pPr>
        <w:pStyle w:val="4"/>
        <w:keepNext w:val="0"/>
        <w:keepLines w:val="0"/>
        <w:widowControl/>
        <w:suppressLineNumbers w:val="0"/>
        <w:spacing w:before="0" w:beforeAutospacing="0" w:after="0" w:afterAutospacing="0" w:line="12" w:lineRule="atLeast"/>
        <w:ind w:left="0" w:right="0" w:firstLine="0"/>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sz w:val="32"/>
          <w:szCs w:val="32"/>
        </w:rPr>
        <w:t>强化经济指标分解和运行调度。一是科学安排分解主要经济指标。</w:t>
      </w:r>
    </w:p>
    <w:p>
      <w:pPr>
        <w:pStyle w:val="4"/>
        <w:keepNext w:val="0"/>
        <w:keepLines w:val="0"/>
        <w:widowControl/>
        <w:suppressLineNumbers w:val="0"/>
        <w:spacing w:before="0" w:beforeAutospacing="0" w:after="0" w:afterAutospacing="0" w:line="12" w:lineRule="atLeast"/>
        <w:ind w:left="0" w:right="0" w:firstLine="0"/>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sz w:val="32"/>
          <w:szCs w:val="32"/>
        </w:rPr>
        <w:t>（二）不断强化政策资金扶持，稳步推进三产发展</w:t>
      </w:r>
    </w:p>
    <w:p>
      <w:pPr>
        <w:pStyle w:val="4"/>
        <w:keepNext w:val="0"/>
        <w:keepLines w:val="0"/>
        <w:widowControl/>
        <w:suppressLineNumbers w:val="0"/>
        <w:spacing w:before="0" w:beforeAutospacing="0" w:after="0" w:afterAutospacing="0" w:line="12" w:lineRule="atLeast"/>
        <w:ind w:left="0" w:right="0" w:firstLine="0"/>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sz w:val="32"/>
          <w:szCs w:val="32"/>
        </w:rPr>
        <w:t>加快推动现代服务业发展</w:t>
      </w:r>
    </w:p>
    <w:p>
      <w:pPr>
        <w:pStyle w:val="4"/>
        <w:keepNext w:val="0"/>
        <w:keepLines w:val="0"/>
        <w:widowControl/>
        <w:suppressLineNumbers w:val="0"/>
        <w:spacing w:before="0" w:beforeAutospacing="0" w:after="0" w:afterAutospacing="0" w:line="12" w:lineRule="atLeast"/>
        <w:ind w:left="0" w:right="0" w:firstLine="0"/>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sz w:val="32"/>
          <w:szCs w:val="32"/>
        </w:rPr>
        <w:t>（三）强化措施狠抓落实，全力推进项目建设</w:t>
      </w:r>
    </w:p>
    <w:p>
      <w:pPr>
        <w:pStyle w:val="4"/>
        <w:keepNext w:val="0"/>
        <w:keepLines w:val="0"/>
        <w:widowControl/>
        <w:suppressLineNumbers w:val="0"/>
        <w:spacing w:before="0" w:beforeAutospacing="0" w:after="0" w:afterAutospacing="0" w:line="12" w:lineRule="atLeast"/>
        <w:ind w:left="0" w:right="0" w:firstLine="0"/>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sz w:val="32"/>
          <w:szCs w:val="32"/>
        </w:rPr>
        <w:t>（四）加大项目对接力度，不断扩大招商投资超额完成“6.18” 项目成果对接。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四、2017年决算收支总体情况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年鲤城区发改局年初结转和结余0万元，本年收入465.22万元，本年支出465.22万元，事业基金弥补收支差额</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万元，结余分配</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万元，年末结转和结余0万元。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（一）</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年收入465.22万元，比</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2016</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年决算数增加68.1万元，增长2％，具体情况如下：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182" w:right="0" w:firstLine="48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1.</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财政拨款收入465.22万元，其中政府性基金</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事业收入</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3.</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经营收入</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4.</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上级补助收入</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5.</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附属单位上缴收入</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6.</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其他收入</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（二）</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年支出465.22万元，比</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2016</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年决算数增加68.1万元，增长2％，具体情况如下：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1.</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基本支出381.62万元。其中，人员支出338.89万元，公用支出42.73万元。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项目支出83.6万元。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3.</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上缴上级支出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4.</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经营支出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5.</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对附属单位补助支出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五、一般公共预算拨款支出决算情况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年一般公共预算拨款支出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465.22</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万元，比上年决算数增加68.1万元，增长2</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，具体情况如下：</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（一）工资福利支出277.35万元，与上年相比增加42.11万元，主要原因是调资、新增人员。；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（二）对个人和家庭补助支出61.54万元，主要用于在职人员的公积金单位部分、提租补贴等支出，与上年相比增加23.9万元；主要原因是调资、新增人员以及遗嘱补助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（三）商品和服务支出42.73万元，主要用于会议费、培训费、办公用品、办公软件服务费等支出。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（四）其他资本性支出3.2万元,主要用于办公设备等支出与上年相比增加0.3万元.主要是添置电脑、空调等设备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六、政府性基金支出决算情况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4"/>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本单位</w:t>
      </w:r>
      <w:r>
        <w:rPr>
          <w:rFonts w:ascii="楷体" w:hAnsi="楷体" w:eastAsia="楷体" w:cs="楷体"/>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年度没有使用政府性基金预算拨款安排的支出。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七、财政拨款基本支出决算情况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年度财政拨款基本支出381.62万元，其中：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一）人员经费338.89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二）公用经费42.73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八、一般公共预算拨款“三公”经费支出决算情况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4"/>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三公</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经费一般公共预算拨款</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7.46</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万元。具体情况如下：</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br w:type="textWrapping"/>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（一）因公出国（境）费0万元，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32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（二）公务用车购置及运行费</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万元。其中：公务用车购置费</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年公务用车购置</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辆。公务用车运行费</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万元，主要用于公务用车燃油、维修、保险等方面支出，年末公务用车保有量</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辆。主要是</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实行车改制度。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br w:type="textWrapping"/>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（三）公务接待费</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0.06</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万元。主要用于洽谈聚宝城南项目融资等方面的接待活动，累计接待</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1</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批次、接待改人数</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10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九、其他重要事项说明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3"/>
        <w:jc w:val="left"/>
        <w:rPr>
          <w:rFonts w:hint="eastAsia" w:ascii="宋体" w:hAnsi="宋体" w:eastAsia="宋体" w:cs="宋体"/>
          <w:b w:val="0"/>
          <w:i w:val="0"/>
          <w:caps w:val="0"/>
          <w:color w:val="000000"/>
          <w:spacing w:val="0"/>
          <w:sz w:val="19"/>
          <w:szCs w:val="19"/>
        </w:rPr>
      </w:pPr>
      <w:r>
        <w:rPr>
          <w:rFonts w:hint="eastAsia" w:ascii="宋体" w:hAnsi="宋体" w:eastAsia="宋体" w:cs="宋体"/>
          <w:b/>
          <w:i w:val="0"/>
          <w:caps w:val="0"/>
          <w:color w:val="555555"/>
          <w:spacing w:val="0"/>
          <w:kern w:val="0"/>
          <w:sz w:val="32"/>
          <w:szCs w:val="32"/>
          <w:bdr w:val="none" w:color="auto" w:sz="0" w:space="0"/>
          <w:shd w:val="clear" w:fill="FFFFFF"/>
          <w:lang w:val="en-US" w:eastAsia="zh-CN" w:bidi="ar"/>
        </w:rPr>
        <w:t>（一）机关运行经费</w:t>
      </w: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年度机关运行经费支出30.16万元，比上年决算数增长9</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，主要是</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新增人员相应增加支出。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3"/>
        <w:jc w:val="left"/>
        <w:rPr>
          <w:rFonts w:hint="eastAsia" w:ascii="宋体" w:hAnsi="宋体" w:eastAsia="宋体" w:cs="宋体"/>
          <w:b w:val="0"/>
          <w:i w:val="0"/>
          <w:caps w:val="0"/>
          <w:color w:val="000000"/>
          <w:spacing w:val="0"/>
          <w:sz w:val="19"/>
          <w:szCs w:val="19"/>
        </w:rPr>
      </w:pPr>
      <w:r>
        <w:rPr>
          <w:rFonts w:hint="eastAsia" w:ascii="宋体" w:hAnsi="宋体" w:eastAsia="宋体" w:cs="宋体"/>
          <w:b/>
          <w:i w:val="0"/>
          <w:caps w:val="0"/>
          <w:color w:val="555555"/>
          <w:spacing w:val="0"/>
          <w:kern w:val="0"/>
          <w:sz w:val="32"/>
          <w:szCs w:val="32"/>
          <w:bdr w:val="none" w:color="auto" w:sz="0" w:space="0"/>
          <w:shd w:val="clear" w:fill="FFFFFF"/>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本部门</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年度政府采购支出总额3.4万元，其中：政府采购货物支出2万元、政府采购工程支出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万元、政府采购服务支出1.4万元。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i w:val="0"/>
          <w:caps w:val="0"/>
          <w:color w:val="555555"/>
          <w:spacing w:val="0"/>
          <w:kern w:val="0"/>
          <w:sz w:val="32"/>
          <w:szCs w:val="32"/>
          <w:bdr w:val="none" w:color="auto" w:sz="0" w:space="0"/>
          <w:shd w:val="clear" w:fill="FFFFFF"/>
          <w:lang w:val="en-US" w:eastAsia="zh-CN" w:bidi="ar"/>
        </w:rPr>
        <w:t>（三）国有资产占用使用情况</w:t>
      </w: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4"/>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截至</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2017</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年</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12</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月</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31</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日，本部门共有车辆</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辆，其中：部级领导干部用车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辆、一般公务用车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辆、一般执法执勤用车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辆、特种专业技术用车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辆、其他用车</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辆；单价</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50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万元（含）以上通用设备</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台（套），单价</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100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万元（含）以上专用设备</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0</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i w:val="0"/>
          <w:caps w:val="0"/>
          <w:color w:val="555555"/>
          <w:spacing w:val="0"/>
          <w:kern w:val="0"/>
          <w:sz w:val="32"/>
          <w:szCs w:val="32"/>
          <w:bdr w:val="none" w:color="auto" w:sz="0" w:space="0"/>
          <w:shd w:val="clear" w:fill="FFFFFF"/>
          <w:lang w:val="en-US" w:eastAsia="zh-CN" w:bidi="ar"/>
        </w:rPr>
        <w:t>（四）项目绩效自评报告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按照绩效处要求，公开项目概况、评价过程及绩效分析、存在问题和有关建议。本单位2017年度没有绩效自评。</w:t>
      </w:r>
      <w:r>
        <w:rPr>
          <w:rFonts w:hint="eastAsia" w:ascii="宋体" w:hAnsi="宋体" w:eastAsia="宋体" w:cs="宋体"/>
          <w:b w:val="0"/>
          <w:i w:val="0"/>
          <w:caps w:val="0"/>
          <w:color w:val="555555"/>
          <w:spacing w:val="0"/>
          <w:kern w:val="0"/>
          <w:sz w:val="24"/>
          <w:szCs w:val="24"/>
          <w:bdr w:val="none" w:color="auto" w:sz="0" w:space="0"/>
          <w:shd w:val="clear" w:fill="FFFFFF"/>
          <w:lang w:val="en-US" w:eastAsia="zh-CN" w:bidi="ar"/>
        </w:rPr>
        <w:br w:type="textWrapping"/>
      </w:r>
      <w:r>
        <w:rPr>
          <w:rFonts w:hint="eastAsia" w:ascii="黑体" w:hAnsi="宋体" w:eastAsia="黑体" w:cs="黑体"/>
          <w:b w:val="0"/>
          <w:i w:val="0"/>
          <w:caps w:val="0"/>
          <w:color w:val="555555"/>
          <w:spacing w:val="0"/>
          <w:kern w:val="0"/>
          <w:sz w:val="32"/>
          <w:szCs w:val="32"/>
          <w:bdr w:val="none" w:color="auto" w:sz="0" w:space="0"/>
          <w:shd w:val="clear" w:fill="FFFFFF"/>
          <w:lang w:val="en-US" w:eastAsia="zh-CN" w:bidi="ar"/>
        </w:rPr>
        <w:t>    十、名词解释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（一）财政拨款收入：指省级财政当年拨付的资金。</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（二）事业收入：指事业单位开展专业业务活动及辅助活动所取得的收入。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（三）经营收入：指事业单位在专业业务活动及其辅助活动之外开展非独立核算经营活动取得的收入。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（四）其他收入：指除上述</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财政拨款收入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事业收入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经营收入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等以外的收入。主要是按规定动用的售房收入、存款利息收入等。</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（五）用事业基金弥补收支差额：指事业单位在当年的</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财政拨款收入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事业收入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经营收入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其他收入</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707"/>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（六）年初结转和结余：指以前年度尚未完成、结转到本年</w:t>
      </w: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 </w:t>
      </w: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（七）结余分配：指事业单位按规定提取的职工福利基金、事业基金和缴纳的所得税，以及建设单位按规定应交回的基本建设竣工项目结余资金。</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（八）年末结转和结余：指本年度或以前年度预算安排、因客观条件发生变化无法按原计划实施，需延迟到以后年度按有关规定继续使用的资金。</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（九）基本支出：指为保障机构正常运转、完成日常工作任务而发生的人员支出和公用支出。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（十）项目支出：指在基本支出之外为完成特定行政任务和事业发展目标所发生的支出。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（十一）经营支出：指事业单位在专业业务活动及其辅助活动之外开展非独立核算经营活动发生的支出。</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（十二）</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三公</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经费：纳入省级财政预决算管理的</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三公</w:t>
      </w:r>
      <w:r>
        <w:rPr>
          <w:rFonts w:hint="eastAsia" w:ascii="仿宋" w:hAnsi="仿宋" w:eastAsia="仿宋" w:cs="仿宋"/>
          <w:b w:val="0"/>
          <w:i w:val="0"/>
          <w:caps w:val="0"/>
          <w:color w:val="555555"/>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0"/>
          <w:kern w:val="0"/>
          <w:sz w:val="32"/>
          <w:szCs w:val="32"/>
          <w:bdr w:val="none" w:color="auto" w:sz="0" w:space="0"/>
          <w:shd w:val="clear" w:fill="FFFFF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640"/>
        <w:jc w:val="left"/>
        <w:rPr>
          <w:rFonts w:hint="eastAsia" w:ascii="宋体" w:hAnsi="宋体" w:eastAsia="宋体" w:cs="宋体"/>
          <w:b w:val="0"/>
          <w:i w:val="0"/>
          <w:caps w:val="0"/>
          <w:color w:val="000000"/>
          <w:spacing w:val="0"/>
          <w:sz w:val="19"/>
          <w:szCs w:val="19"/>
        </w:rPr>
      </w:pPr>
      <w:r>
        <w:rPr>
          <w:rFonts w:hint="default" w:ascii="Calibri" w:hAnsi="Calibri" w:eastAsia="宋体" w:cs="Calibri"/>
          <w:b w:val="0"/>
          <w:i w:val="0"/>
          <w:caps w:val="0"/>
          <w:color w:val="55555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584"/>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附表：</w:t>
      </w: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1-1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年度收支决算总表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1-2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1-3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1-4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年度财政拨款收支决算总表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1-5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年度一般公共财政拨款支出决算表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1-6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年度一般公共预算支出经济分类决算情况表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96"/>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24"/>
          <w:kern w:val="0"/>
          <w:sz w:val="32"/>
          <w:szCs w:val="32"/>
          <w:bdr w:val="none" w:color="auto" w:sz="0" w:space="0"/>
          <w:shd w:val="clear" w:fill="FFFFFF"/>
          <w:lang w:val="en-US" w:eastAsia="zh-CN" w:bidi="ar"/>
        </w:rPr>
        <w:t>1-7 2017</w:t>
      </w:r>
      <w:r>
        <w:rPr>
          <w:rFonts w:hint="eastAsia" w:ascii="宋体" w:hAnsi="宋体" w:eastAsia="宋体" w:cs="宋体"/>
          <w:b w:val="0"/>
          <w:i w:val="0"/>
          <w:caps w:val="0"/>
          <w:color w:val="555555"/>
          <w:spacing w:val="-24"/>
          <w:kern w:val="0"/>
          <w:sz w:val="32"/>
          <w:szCs w:val="32"/>
          <w:bdr w:val="none" w:color="auto" w:sz="0" w:space="0"/>
          <w:shd w:val="clear" w:fill="FFFFFF"/>
          <w:lang w:val="en-US" w:eastAsia="zh-CN" w:bidi="ar"/>
        </w:rPr>
        <w:t>年度一般公共预算基本支出经济分类决算情况表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1-8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年度政府性基金支出决算表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1-9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年度部门决算相关信息统计表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7F5"/>
        <w:spacing w:before="100" w:beforeAutospacing="0" w:after="100" w:afterAutospacing="0" w:line="600" w:lineRule="atLeast"/>
        <w:ind w:left="0" w:right="0" w:firstLine="1460"/>
        <w:jc w:val="left"/>
        <w:rPr>
          <w:rFonts w:hint="eastAsia" w:ascii="宋体" w:hAnsi="宋体" w:eastAsia="宋体" w:cs="宋体"/>
          <w:b w:val="0"/>
          <w:i w:val="0"/>
          <w:caps w:val="0"/>
          <w:color w:val="000000"/>
          <w:spacing w:val="0"/>
          <w:sz w:val="19"/>
          <w:szCs w:val="19"/>
        </w:rPr>
      </w:pPr>
      <w:r>
        <w:rPr>
          <w:rFonts w:hint="eastAsia" w:ascii="仿宋" w:hAnsi="仿宋" w:eastAsia="仿宋" w:cs="仿宋"/>
          <w:b w:val="0"/>
          <w:i w:val="0"/>
          <w:caps w:val="0"/>
          <w:color w:val="555555"/>
          <w:spacing w:val="-14"/>
          <w:kern w:val="0"/>
          <w:sz w:val="32"/>
          <w:szCs w:val="32"/>
          <w:bdr w:val="none" w:color="auto" w:sz="0" w:space="0"/>
          <w:shd w:val="clear" w:fill="FFFFFF"/>
          <w:lang w:val="en-US" w:eastAsia="zh-CN" w:bidi="ar"/>
        </w:rPr>
        <w:t>1-10 2017</w:t>
      </w:r>
      <w:r>
        <w:rPr>
          <w:rFonts w:hint="eastAsia" w:ascii="宋体" w:hAnsi="宋体" w:eastAsia="宋体" w:cs="宋体"/>
          <w:b w:val="0"/>
          <w:i w:val="0"/>
          <w:caps w:val="0"/>
          <w:color w:val="555555"/>
          <w:spacing w:val="-14"/>
          <w:kern w:val="0"/>
          <w:sz w:val="32"/>
          <w:szCs w:val="32"/>
          <w:bdr w:val="none" w:color="auto" w:sz="0" w:space="0"/>
          <w:shd w:val="clear" w:fill="FFFFFF"/>
          <w:lang w:val="en-US" w:eastAsia="zh-CN" w:bidi="ar"/>
        </w:rPr>
        <w:t>年度政府采购情况表</w:t>
      </w:r>
    </w:p>
    <w:p>
      <w:pPr>
        <w:keepNext w:val="0"/>
        <w:keepLines w:val="0"/>
        <w:widowControl/>
        <w:suppressLineNumbers w:val="0"/>
        <w:spacing w:before="0" w:beforeAutospacing="0" w:after="0" w:afterAutospacing="0" w:line="12" w:lineRule="atLeast"/>
        <w:ind w:left="0" w:right="0" w:firstLine="0"/>
        <w:jc w:val="left"/>
        <w:rPr>
          <w:rFonts w:hint="eastAsia" w:ascii="宋体" w:hAnsi="宋体" w:eastAsia="宋体" w:cs="宋体"/>
          <w:b w:val="0"/>
          <w:i w:val="0"/>
          <w:caps w:val="0"/>
          <w:color w:val="000000"/>
          <w:spacing w:val="0"/>
          <w:sz w:val="19"/>
          <w:szCs w:val="19"/>
        </w:rPr>
      </w:pPr>
      <w:r>
        <w:rPr>
          <w:rFonts w:hint="default" w:ascii="Calibri" w:hAnsi="Calibri" w:eastAsia="宋体" w:cs="Calibri"/>
          <w:b w:val="0"/>
          <w:i w:val="0"/>
          <w:caps w:val="0"/>
          <w:color w:val="000000"/>
          <w:spacing w:val="0"/>
          <w:kern w:val="0"/>
          <w:sz w:val="21"/>
          <w:szCs w:val="21"/>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5E99"/>
    <w:rsid w:val="000D43F9"/>
    <w:rsid w:val="0039715E"/>
    <w:rsid w:val="00653D42"/>
    <w:rsid w:val="00781CB9"/>
    <w:rsid w:val="008210E4"/>
    <w:rsid w:val="00AF5E99"/>
    <w:rsid w:val="00B42B57"/>
    <w:rsid w:val="00B95C56"/>
    <w:rsid w:val="00C15233"/>
    <w:rsid w:val="119A0331"/>
    <w:rsid w:val="599920E9"/>
    <w:rsid w:val="73CF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632</Words>
  <Characters>3607</Characters>
  <Lines>30</Lines>
  <Paragraphs>8</Paragraphs>
  <TotalTime>12</TotalTime>
  <ScaleCrop>false</ScaleCrop>
  <LinksUpToDate>false</LinksUpToDate>
  <CharactersWithSpaces>4231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2019-03-13T04:03:00Z</dcterms:created>
  <dc:creator>预算科/林钟禧1</dc:creator>
  <cp:lastModifiedBy>hp</cp:lastModifiedBy>
  <cp:lastPrinted>2019-03-13T05:03:00Z</cp:lastPrinted>
  <dcterms:modified xsi:type="dcterms:W3CDTF">2019-03-14T07:29:41Z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